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bookmarkStart w:id="0" w:name="_GoBack"/>
            <w:bookmarkEnd w:id="0"/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E465164" wp14:editId="4AAD5261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C11BC" w:rsidRPr="00AC11BC" w:rsidRDefault="00AC11BC" w:rsidP="00AC11BC">
                                  <w:pPr>
                                    <w:pStyle w:val="Bezmezer"/>
                                    <w:rPr>
                                      <w:rFonts w:eastAsia="Calibri" w:cs="Times New Roman"/>
                                    </w:rPr>
                                  </w:pPr>
                                  <w:r w:rsidRPr="00AC11BC">
                                    <w:rPr>
                                      <w:rFonts w:eastAsia="Calibri" w:cs="Times New Roman"/>
                                    </w:rPr>
                                    <w:t>Správa železnic, státní organizace</w:t>
                                  </w:r>
                                </w:p>
                                <w:p w:rsidR="00AC11BC" w:rsidRPr="00AC11BC" w:rsidRDefault="00AC11BC" w:rsidP="00AC11BC">
                                  <w:pPr>
                                    <w:pStyle w:val="Bezmezer"/>
                                    <w:rPr>
                                      <w:rFonts w:eastAsia="Calibri" w:cs="Times New Roman"/>
                                    </w:rPr>
                                  </w:pPr>
                                  <w:r w:rsidRPr="00AC11BC">
                                    <w:rPr>
                                      <w:rFonts w:eastAsia="Calibri" w:cs="Times New Roman"/>
                                    </w:rPr>
                                    <w:t>Stavební správa východ</w:t>
                                  </w:r>
                                </w:p>
                                <w:p w:rsidR="00AC11BC" w:rsidRPr="00AC11BC" w:rsidRDefault="00AC11BC" w:rsidP="00AC11BC">
                                  <w:pPr>
                                    <w:pStyle w:val="Bezmezer"/>
                                    <w:rPr>
                                      <w:rFonts w:eastAsia="Calibri" w:cs="Times New Roman"/>
                                    </w:rPr>
                                  </w:pPr>
                                  <w:r w:rsidRPr="00AC11BC">
                                    <w:rPr>
                                      <w:rFonts w:eastAsia="Calibri" w:cs="Times New Roman"/>
                                    </w:rPr>
                                    <w:t>Nerudova 773/1</w:t>
                                  </w:r>
                                </w:p>
                                <w:p w:rsidR="00D64393" w:rsidRPr="00AC11BC" w:rsidRDefault="00AC11BC" w:rsidP="00AC11BC">
                                  <w:pPr>
                                    <w:pStyle w:val="Bezmezer"/>
                                    <w:rPr>
                                      <w:rFonts w:eastAsia="Calibri" w:cs="Times New Roman"/>
                                    </w:rPr>
                                  </w:pPr>
                                  <w:r w:rsidRPr="00AC11BC">
                                    <w:rPr>
                                      <w:rFonts w:eastAsia="Calibri" w:cs="Times New Roman"/>
                                    </w:rPr>
                                    <w:t>779 00 Olomouc</w:t>
                                  </w:r>
                                </w:p>
                                <w:p w:rsidR="00AC11BC" w:rsidRDefault="00AC11BC" w:rsidP="00AC11BC">
                                  <w:pPr>
                                    <w:pStyle w:val="Bezmezer"/>
                                    <w:rPr>
                                      <w:rFonts w:eastAsia="Calibri" w:cs="Times New Roman"/>
                                    </w:rPr>
                                  </w:pPr>
                                </w:p>
                                <w:p w:rsidR="00D64393" w:rsidRPr="00872202" w:rsidRDefault="00D64393" w:rsidP="00050004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Fonts w:eastAsia="Calibri" w:cs="Times New Roman"/>
                                    </w:rPr>
                                    <w:t>(</w:t>
                                  </w:r>
                                  <w:r w:rsidRPr="00D64393">
                                    <w:rPr>
                                      <w:rFonts w:eastAsia="Calibri" w:cs="Times New Roman"/>
                                      <w:i/>
                                    </w:rPr>
                                    <w:t>pouze v elektronické podobě</w:t>
                                  </w:r>
                                  <w:r>
                                    <w:rPr>
                                      <w:rFonts w:eastAsia="Calibri" w:cs="Times New Roman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46516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:rsidR="00AC11BC" w:rsidRPr="00AC11BC" w:rsidRDefault="00AC11BC" w:rsidP="00AC11BC">
                            <w:pPr>
                              <w:pStyle w:val="Bezmezer"/>
                              <w:rPr>
                                <w:rFonts w:eastAsia="Calibri" w:cs="Times New Roman"/>
                              </w:rPr>
                            </w:pPr>
                            <w:r w:rsidRPr="00AC11BC">
                              <w:rPr>
                                <w:rFonts w:eastAsia="Calibri" w:cs="Times New Roman"/>
                              </w:rPr>
                              <w:t>Správa železnic, státní organizace</w:t>
                            </w:r>
                          </w:p>
                          <w:p w:rsidR="00AC11BC" w:rsidRPr="00AC11BC" w:rsidRDefault="00AC11BC" w:rsidP="00AC11BC">
                            <w:pPr>
                              <w:pStyle w:val="Bezmezer"/>
                              <w:rPr>
                                <w:rFonts w:eastAsia="Calibri" w:cs="Times New Roman"/>
                              </w:rPr>
                            </w:pPr>
                            <w:r w:rsidRPr="00AC11BC">
                              <w:rPr>
                                <w:rFonts w:eastAsia="Calibri" w:cs="Times New Roman"/>
                              </w:rPr>
                              <w:t>Stavební správa východ</w:t>
                            </w:r>
                          </w:p>
                          <w:p w:rsidR="00AC11BC" w:rsidRPr="00AC11BC" w:rsidRDefault="00AC11BC" w:rsidP="00AC11BC">
                            <w:pPr>
                              <w:pStyle w:val="Bezmezer"/>
                              <w:rPr>
                                <w:rFonts w:eastAsia="Calibri" w:cs="Times New Roman"/>
                              </w:rPr>
                            </w:pPr>
                            <w:r w:rsidRPr="00AC11BC">
                              <w:rPr>
                                <w:rFonts w:eastAsia="Calibri" w:cs="Times New Roman"/>
                              </w:rPr>
                              <w:t>Nerudova 773/1</w:t>
                            </w:r>
                          </w:p>
                          <w:p w:rsidR="00D64393" w:rsidRPr="00AC11BC" w:rsidRDefault="00AC11BC" w:rsidP="00AC11BC">
                            <w:pPr>
                              <w:pStyle w:val="Bezmezer"/>
                              <w:rPr>
                                <w:rFonts w:eastAsia="Calibri" w:cs="Times New Roman"/>
                              </w:rPr>
                            </w:pPr>
                            <w:r w:rsidRPr="00AC11BC">
                              <w:rPr>
                                <w:rFonts w:eastAsia="Calibri" w:cs="Times New Roman"/>
                              </w:rPr>
                              <w:t>779 00 Olomouc</w:t>
                            </w:r>
                          </w:p>
                          <w:p w:rsidR="00AC11BC" w:rsidRDefault="00AC11BC" w:rsidP="00AC11BC">
                            <w:pPr>
                              <w:pStyle w:val="Bezmezer"/>
                              <w:rPr>
                                <w:rFonts w:eastAsia="Calibri" w:cs="Times New Roman"/>
                              </w:rPr>
                            </w:pPr>
                          </w:p>
                          <w:p w:rsidR="00D64393" w:rsidRPr="00872202" w:rsidRDefault="00D64393" w:rsidP="00050004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Fonts w:eastAsia="Calibri" w:cs="Times New Roman"/>
                              </w:rPr>
                              <w:t>(</w:t>
                            </w:r>
                            <w:r w:rsidRPr="00D64393">
                              <w:rPr>
                                <w:rFonts w:eastAsia="Calibri" w:cs="Times New Roman"/>
                                <w:i/>
                              </w:rPr>
                              <w:t>pouze v elektronické podobě</w:t>
                            </w:r>
                            <w:r>
                              <w:rPr>
                                <w:rFonts w:eastAsia="Calibri" w:cs="Times New Roman"/>
                              </w:rPr>
                              <w:t>)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B95A44" w:rsidP="00F60168">
            <w:r w:rsidRPr="00B95A44">
              <w:t>52763</w:t>
            </w:r>
            <w:r w:rsidR="003C544D" w:rsidRPr="003C544D">
              <w:t>/2020-SŽ-GŘ-O11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B95A44" w:rsidRPr="00B95A44" w:rsidTr="00F862D6">
        <w:tc>
          <w:tcPr>
            <w:tcW w:w="1020" w:type="dxa"/>
          </w:tcPr>
          <w:p w:rsidR="00F862D6" w:rsidRPr="00B95A44" w:rsidRDefault="00F862D6" w:rsidP="0077673A">
            <w:r w:rsidRPr="00B95A44">
              <w:t>Listů/příloh</w:t>
            </w:r>
          </w:p>
        </w:tc>
        <w:tc>
          <w:tcPr>
            <w:tcW w:w="2552" w:type="dxa"/>
          </w:tcPr>
          <w:p w:rsidR="00F862D6" w:rsidRPr="00B95A44" w:rsidRDefault="000C4A15" w:rsidP="0077673A">
            <w:r w:rsidRPr="00B95A44">
              <w:fldChar w:fldCharType="begin">
                <w:ffData>
                  <w:name w:val="ListuPriloh"/>
                  <w:enabled/>
                  <w:calcOnExit w:val="0"/>
                  <w:textInput>
                    <w:default w:val="1/0"/>
                  </w:textInput>
                </w:ffData>
              </w:fldChar>
            </w:r>
            <w:bookmarkStart w:id="1" w:name="ListuPriloh"/>
            <w:r w:rsidRPr="00B95A44">
              <w:instrText xml:space="preserve"> FORMTEXT </w:instrText>
            </w:r>
            <w:r w:rsidRPr="00B95A44">
              <w:fldChar w:fldCharType="separate"/>
            </w:r>
            <w:r w:rsidRPr="00B95A44">
              <w:rPr>
                <w:noProof/>
              </w:rPr>
              <w:t>1/0</w:t>
            </w:r>
            <w:r w:rsidRPr="00B95A44">
              <w:fldChar w:fldCharType="end"/>
            </w:r>
            <w:bookmarkEnd w:id="1"/>
          </w:p>
        </w:tc>
        <w:tc>
          <w:tcPr>
            <w:tcW w:w="823" w:type="dxa"/>
          </w:tcPr>
          <w:p w:rsidR="00F862D6" w:rsidRPr="00B95A44" w:rsidRDefault="00F862D6" w:rsidP="0077673A"/>
        </w:tc>
        <w:tc>
          <w:tcPr>
            <w:tcW w:w="3685" w:type="dxa"/>
            <w:vMerge/>
          </w:tcPr>
          <w:p w:rsidR="00F862D6" w:rsidRPr="00B95A44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EB55DE" w:rsidTr="00F862D6">
        <w:tc>
          <w:tcPr>
            <w:tcW w:w="1020" w:type="dxa"/>
          </w:tcPr>
          <w:p w:rsidR="00EB55DE" w:rsidRDefault="00EB55DE" w:rsidP="0077673A">
            <w:r>
              <w:t>Vyřizuje</w:t>
            </w:r>
          </w:p>
        </w:tc>
        <w:tc>
          <w:tcPr>
            <w:tcW w:w="2552" w:type="dxa"/>
          </w:tcPr>
          <w:p w:rsidR="00EB55DE" w:rsidRPr="00750798" w:rsidRDefault="00EB55DE" w:rsidP="007C3139">
            <w:r w:rsidRPr="00750798">
              <w:t xml:space="preserve">Ing. Jan </w:t>
            </w:r>
            <w:proofErr w:type="spellStart"/>
            <w:r w:rsidRPr="00750798">
              <w:t>Louženský</w:t>
            </w:r>
            <w:proofErr w:type="spellEnd"/>
          </w:p>
        </w:tc>
        <w:tc>
          <w:tcPr>
            <w:tcW w:w="823" w:type="dxa"/>
          </w:tcPr>
          <w:p w:rsidR="00EB55DE" w:rsidRDefault="00EB55DE" w:rsidP="0077673A"/>
        </w:tc>
        <w:tc>
          <w:tcPr>
            <w:tcW w:w="3685" w:type="dxa"/>
            <w:vMerge/>
          </w:tcPr>
          <w:p w:rsidR="00EB55DE" w:rsidRDefault="00EB55DE" w:rsidP="0077673A"/>
        </w:tc>
      </w:tr>
      <w:tr w:rsidR="00EB55DE" w:rsidTr="00F862D6">
        <w:tc>
          <w:tcPr>
            <w:tcW w:w="1020" w:type="dxa"/>
          </w:tcPr>
          <w:p w:rsidR="00EB55DE" w:rsidRDefault="00EB55DE" w:rsidP="009A7568">
            <w:r>
              <w:t>Telefon</w:t>
            </w:r>
          </w:p>
        </w:tc>
        <w:tc>
          <w:tcPr>
            <w:tcW w:w="2552" w:type="dxa"/>
          </w:tcPr>
          <w:p w:rsidR="00EB55DE" w:rsidRPr="00750798" w:rsidRDefault="00EB55DE" w:rsidP="007C3139">
            <w:r w:rsidRPr="00750798">
              <w:t>+420 972 544 542</w:t>
            </w:r>
          </w:p>
        </w:tc>
        <w:tc>
          <w:tcPr>
            <w:tcW w:w="823" w:type="dxa"/>
          </w:tcPr>
          <w:p w:rsidR="00EB55DE" w:rsidRDefault="00EB55DE" w:rsidP="009A7568"/>
        </w:tc>
        <w:tc>
          <w:tcPr>
            <w:tcW w:w="3685" w:type="dxa"/>
            <w:vMerge/>
          </w:tcPr>
          <w:p w:rsidR="00EB55DE" w:rsidRDefault="00EB55DE" w:rsidP="009A7568"/>
        </w:tc>
      </w:tr>
      <w:tr w:rsidR="00EB55DE" w:rsidTr="00F862D6">
        <w:tc>
          <w:tcPr>
            <w:tcW w:w="1020" w:type="dxa"/>
          </w:tcPr>
          <w:p w:rsidR="00EB55DE" w:rsidRDefault="00EB55DE" w:rsidP="009A7568">
            <w:r>
              <w:t>Mobil</w:t>
            </w:r>
          </w:p>
        </w:tc>
        <w:tc>
          <w:tcPr>
            <w:tcW w:w="2552" w:type="dxa"/>
          </w:tcPr>
          <w:p w:rsidR="00EB55DE" w:rsidRPr="00750798" w:rsidRDefault="00EB55DE" w:rsidP="007C3139">
            <w:r w:rsidRPr="00750798">
              <w:t>+420 602 435 699</w:t>
            </w:r>
          </w:p>
        </w:tc>
        <w:tc>
          <w:tcPr>
            <w:tcW w:w="823" w:type="dxa"/>
          </w:tcPr>
          <w:p w:rsidR="00EB55DE" w:rsidRDefault="00EB55DE" w:rsidP="009A7568"/>
        </w:tc>
        <w:tc>
          <w:tcPr>
            <w:tcW w:w="3685" w:type="dxa"/>
            <w:vMerge/>
          </w:tcPr>
          <w:p w:rsidR="00EB55DE" w:rsidRDefault="00EB55DE" w:rsidP="009A7568"/>
        </w:tc>
      </w:tr>
      <w:tr w:rsidR="00EB55DE" w:rsidTr="00F862D6">
        <w:tc>
          <w:tcPr>
            <w:tcW w:w="1020" w:type="dxa"/>
          </w:tcPr>
          <w:p w:rsidR="00EB55DE" w:rsidRDefault="00EB55DE" w:rsidP="009A7568">
            <w:r>
              <w:t>E-mail</w:t>
            </w:r>
          </w:p>
        </w:tc>
        <w:tc>
          <w:tcPr>
            <w:tcW w:w="2552" w:type="dxa"/>
          </w:tcPr>
          <w:p w:rsidR="00EB55DE" w:rsidRDefault="00EB55DE" w:rsidP="00781208">
            <w:r w:rsidRPr="00750798">
              <w:t>louzensky@</w:t>
            </w:r>
            <w:r w:rsidR="00781208">
              <w:t>spravazeleznic</w:t>
            </w:r>
            <w:r w:rsidRPr="00750798">
              <w:t>.cz</w:t>
            </w:r>
          </w:p>
        </w:tc>
        <w:tc>
          <w:tcPr>
            <w:tcW w:w="823" w:type="dxa"/>
          </w:tcPr>
          <w:p w:rsidR="00EB55DE" w:rsidRDefault="00EB55DE" w:rsidP="009A7568"/>
        </w:tc>
        <w:tc>
          <w:tcPr>
            <w:tcW w:w="3685" w:type="dxa"/>
            <w:vMerge/>
          </w:tcPr>
          <w:p w:rsidR="00EB55DE" w:rsidRDefault="00EB55DE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AE0DDE" w:rsidRPr="00AE0DDE" w:rsidTr="00F862D6">
        <w:tc>
          <w:tcPr>
            <w:tcW w:w="1020" w:type="dxa"/>
          </w:tcPr>
          <w:p w:rsidR="009A7568" w:rsidRPr="00AE0DDE" w:rsidRDefault="009A7568" w:rsidP="009A7568">
            <w:r w:rsidRPr="00AE0DDE">
              <w:t>Datum</w:t>
            </w:r>
          </w:p>
        </w:tc>
        <w:tc>
          <w:tcPr>
            <w:tcW w:w="2552" w:type="dxa"/>
          </w:tcPr>
          <w:p w:rsidR="009A7568" w:rsidRPr="00AE0DDE" w:rsidRDefault="007F06E2" w:rsidP="00C900A1">
            <w:sdt>
              <w:sdtPr>
                <w:rPr>
                  <w:rStyle w:val="ZkladntextChar"/>
                </w:rPr>
                <w:id w:val="1003933302"/>
                <w:placeholder>
                  <w:docPart w:val="44ADEED388CD4C5A90EB3FD04B2AA8EA"/>
                </w:placeholder>
                <w:date w:fullDate="2020-08-11T00:00:00Z">
                  <w:dateFormat w:val="d. MMMM yyyy"/>
                  <w:lid w:val="cs-CZ"/>
                  <w:storeMappedDataAs w:val="dateTime"/>
                  <w:calendar w:val="gregorian"/>
                </w:date>
              </w:sdtPr>
              <w:sdtEndPr>
                <w:rPr>
                  <w:rStyle w:val="Standardnpsmoodstavce"/>
                </w:rPr>
              </w:sdtEndPr>
              <w:sdtContent>
                <w:r w:rsidR="00AE0DDE" w:rsidRPr="00AE0DDE">
                  <w:rPr>
                    <w:rStyle w:val="ZkladntextChar"/>
                  </w:rPr>
                  <w:t>11. srpna 2020</w:t>
                </w:r>
              </w:sdtContent>
            </w:sdt>
          </w:p>
        </w:tc>
        <w:tc>
          <w:tcPr>
            <w:tcW w:w="823" w:type="dxa"/>
          </w:tcPr>
          <w:p w:rsidR="009A7568" w:rsidRPr="00AE0DDE" w:rsidRDefault="009A7568" w:rsidP="009A7568"/>
        </w:tc>
        <w:tc>
          <w:tcPr>
            <w:tcW w:w="3685" w:type="dxa"/>
          </w:tcPr>
          <w:p w:rsidR="009A7568" w:rsidRPr="00AE0DDE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865830">
        <w:trPr>
          <w:trHeight w:val="325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050004" w:rsidRDefault="00050004" w:rsidP="005E1E51">
      <w:pPr>
        <w:spacing w:before="120" w:after="180"/>
      </w:pPr>
      <w:r>
        <w:rPr>
          <w:b/>
          <w:bCs/>
        </w:rPr>
        <w:t>„</w:t>
      </w:r>
      <w:r w:rsidR="00781208" w:rsidRPr="00781208">
        <w:rPr>
          <w:b/>
          <w:bCs/>
        </w:rPr>
        <w:t>Sanace skal v km 77,600 - 77,700 v úseku Rožná - Nedvědice</w:t>
      </w:r>
      <w:r>
        <w:rPr>
          <w:b/>
          <w:bCs/>
        </w:rPr>
        <w:t>“, souhrnné vyjádření k</w:t>
      </w:r>
      <w:r w:rsidR="00EA129B">
        <w:rPr>
          <w:b/>
          <w:bCs/>
        </w:rPr>
        <w:t> </w:t>
      </w:r>
      <w:r w:rsidR="00B95A44" w:rsidRPr="00B95A44">
        <w:rPr>
          <w:b/>
          <w:bCs/>
        </w:rPr>
        <w:t>dokumentaci pro vydání společného povolení stavby</w:t>
      </w:r>
      <w:r w:rsidR="00B95A44" w:rsidRPr="00B95A44">
        <w:rPr>
          <w:b/>
        </w:rPr>
        <w:t xml:space="preserve"> a</w:t>
      </w:r>
      <w:r w:rsidR="00B95A44">
        <w:t xml:space="preserve"> </w:t>
      </w:r>
      <w:r w:rsidR="00B95A44" w:rsidRPr="00B95A44">
        <w:rPr>
          <w:b/>
          <w:bCs/>
        </w:rPr>
        <w:t>k projektové dokumentaci pro provádění stavby</w:t>
      </w:r>
      <w:r w:rsidR="00EA129B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:rsidR="00050004" w:rsidRDefault="00050004" w:rsidP="00865830">
      <w:pPr>
        <w:spacing w:before="120" w:after="120"/>
      </w:pPr>
      <w:r>
        <w:t>K </w:t>
      </w:r>
      <w:r w:rsidR="00EA129B" w:rsidRPr="00EA129B">
        <w:t xml:space="preserve">dokumentaci pro </w:t>
      </w:r>
      <w:r w:rsidR="00B95A44">
        <w:t xml:space="preserve">vydání společného povolení </w:t>
      </w:r>
      <w:r w:rsidR="00EA129B" w:rsidRPr="00EA129B">
        <w:t xml:space="preserve">stavby </w:t>
      </w:r>
      <w:r w:rsidR="00EA129B">
        <w:t>(D</w:t>
      </w:r>
      <w:r w:rsidR="00B95A44">
        <w:t>U</w:t>
      </w:r>
      <w:r w:rsidR="00EA129B">
        <w:t>SP)</w:t>
      </w:r>
      <w:r w:rsidR="00B95A44">
        <w:t xml:space="preserve"> a k projektové dokumentaci pro provádění stavby (PDPS)</w:t>
      </w:r>
      <w:r w:rsidR="00EA129B">
        <w:t xml:space="preserve"> </w:t>
      </w:r>
      <w:r>
        <w:t>„</w:t>
      </w:r>
      <w:r w:rsidR="00781208" w:rsidRPr="00781208">
        <w:t>Sanace skal v km 77,600 - 77,700 v úseku Rožná - Nedvědice</w:t>
      </w:r>
      <w:r>
        <w:t>“ má úsek řízení provozu následující připomínky:</w:t>
      </w:r>
    </w:p>
    <w:p w:rsidR="00050004" w:rsidRDefault="00050004" w:rsidP="00865830">
      <w:pPr>
        <w:numPr>
          <w:ilvl w:val="0"/>
          <w:numId w:val="5"/>
        </w:numPr>
        <w:spacing w:after="0"/>
        <w:ind w:left="284" w:hanging="284"/>
        <w:rPr>
          <w:b/>
          <w:bCs/>
          <w:i/>
          <w:iCs/>
        </w:rPr>
      </w:pPr>
      <w:r>
        <w:rPr>
          <w:b/>
          <w:bCs/>
        </w:rPr>
        <w:t>Odbor řízení provozu (O11)</w:t>
      </w:r>
    </w:p>
    <w:p w:rsidR="00050004" w:rsidRDefault="00050004" w:rsidP="005E1E51">
      <w:pPr>
        <w:autoSpaceDE w:val="0"/>
        <w:autoSpaceDN w:val="0"/>
        <w:adjustRightInd w:val="0"/>
        <w:spacing w:after="0"/>
        <w:ind w:left="284"/>
        <w:rPr>
          <w:i/>
          <w:iCs/>
        </w:rPr>
      </w:pPr>
      <w:r>
        <w:rPr>
          <w:i/>
          <w:iCs/>
        </w:rPr>
        <w:t>(zpracovatel</w:t>
      </w:r>
      <w:r w:rsidR="003B6370">
        <w:rPr>
          <w:i/>
          <w:iCs/>
        </w:rPr>
        <w:t>:</w:t>
      </w:r>
      <w:r>
        <w:rPr>
          <w:i/>
          <w:iCs/>
        </w:rPr>
        <w:t xml:space="preserve"> Ing. Jan </w:t>
      </w:r>
      <w:proofErr w:type="spellStart"/>
      <w:r>
        <w:rPr>
          <w:i/>
          <w:iCs/>
        </w:rPr>
        <w:t>Louženský</w:t>
      </w:r>
      <w:proofErr w:type="spellEnd"/>
      <w:r>
        <w:rPr>
          <w:i/>
          <w:iCs/>
        </w:rPr>
        <w:t>, tel. 972 544 542)</w:t>
      </w:r>
    </w:p>
    <w:p w:rsidR="00E513C2" w:rsidRDefault="00377E53" w:rsidP="00B95A44">
      <w:pPr>
        <w:pStyle w:val="Bezmezer"/>
        <w:numPr>
          <w:ilvl w:val="0"/>
          <w:numId w:val="11"/>
        </w:numPr>
        <w:spacing w:before="60" w:after="60"/>
        <w:ind w:left="284" w:hanging="284"/>
      </w:pPr>
      <w:r>
        <w:t xml:space="preserve">A. Průvodní zpráva, 4. Zdůvodnění stavby a jejího umístění. V textu je formálně nepřesně uvedeno, že provoz na trati zajišťují České dráhy, a.s. Provozovatelem dráhy je Správa železnic, státní organizace. Na základě objednávky </w:t>
      </w:r>
      <w:r w:rsidR="00B95A44">
        <w:t xml:space="preserve">Jihomoravského kraje </w:t>
      </w:r>
      <w:r>
        <w:t xml:space="preserve">zajišťuje pravidelnou osobní dopravu dopravce České dráhy, a.s. </w:t>
      </w:r>
      <w:r w:rsidR="008545CB">
        <w:t>Pravidelnou n</w:t>
      </w:r>
      <w:r>
        <w:t xml:space="preserve">ákladní dopravu </w:t>
      </w:r>
      <w:r w:rsidR="00B95A44">
        <w:t xml:space="preserve">zde </w:t>
      </w:r>
      <w:r>
        <w:t>zajišťuje dopravce ČD</w:t>
      </w:r>
      <w:r w:rsidR="00B95A44">
        <w:t> </w:t>
      </w:r>
      <w:proofErr w:type="spellStart"/>
      <w:r>
        <w:t>Cargo</w:t>
      </w:r>
      <w:proofErr w:type="spellEnd"/>
      <w:r>
        <w:t>,</w:t>
      </w:r>
      <w:r w:rsidR="00B95A44">
        <w:t> </w:t>
      </w:r>
      <w:r>
        <w:t>a.s.</w:t>
      </w:r>
      <w:r w:rsidR="008545CB">
        <w:t xml:space="preserve"> </w:t>
      </w:r>
      <w:r w:rsidR="00037E3B">
        <w:rPr>
          <w:rFonts w:ascii="Verdana" w:hAnsi="Verdana" w:cs="Arial"/>
          <w:color w:val="FF0000"/>
        </w:rPr>
        <w:t>doplníme do čistopisu</w:t>
      </w:r>
      <w:r w:rsidR="00037E3B" w:rsidRPr="004C44BD">
        <w:rPr>
          <w:rFonts w:ascii="Verdana" w:hAnsi="Verdana" w:cs="Arial"/>
          <w:color w:val="FF0000"/>
        </w:rPr>
        <w:t xml:space="preserve"> </w:t>
      </w:r>
      <w:r w:rsidR="00037E3B" w:rsidRPr="004C44BD">
        <w:rPr>
          <w:color w:val="FF0000"/>
        </w:rPr>
        <w:t>(Lacina)</w:t>
      </w:r>
    </w:p>
    <w:p w:rsidR="00377E53" w:rsidRDefault="00787555" w:rsidP="00B95A44">
      <w:pPr>
        <w:pStyle w:val="Bezmezer"/>
        <w:numPr>
          <w:ilvl w:val="0"/>
          <w:numId w:val="11"/>
        </w:numPr>
        <w:spacing w:before="60" w:after="60"/>
        <w:ind w:left="284" w:hanging="284"/>
      </w:pPr>
      <w:r>
        <w:t>B. Souhrnná technická zpráva, 5. Základní údaje o provozu, provozní a dopravní technologie. V této kapitole chybí</w:t>
      </w:r>
      <w:r w:rsidRPr="00787555">
        <w:rPr>
          <w:rFonts w:ascii="Verdana" w:eastAsia="Verdana" w:hAnsi="Verdana" w:cs="Times New Roman"/>
        </w:rPr>
        <w:t>, v souladu s platnou Směrnicí generálního ředitele č. 11/2006 „Dokumentace pro přípravu staveb na železničních drahách celostátních a regionálních“, základní dopravně-technologický popis dotčené</w:t>
      </w:r>
      <w:r>
        <w:rPr>
          <w:rFonts w:ascii="Verdana" w:eastAsia="Verdana" w:hAnsi="Verdana" w:cs="Times New Roman"/>
        </w:rPr>
        <w:t xml:space="preserve">ho mezistaničního úseku, včetně rozsahu pravidelné vlakové dopravy pro stanovení dopravních opatření po dobu výstavby. Některé z těchto základních údajů jsou uvedeny v kapitole 3.1 Základní charakteristika stavby a jejího umístění. </w:t>
      </w:r>
      <w:r w:rsidR="00AE0DDE">
        <w:rPr>
          <w:rFonts w:ascii="Verdana" w:eastAsia="Verdana" w:hAnsi="Verdana" w:cs="Times New Roman"/>
        </w:rPr>
        <w:t>V kapitole 3.1 j</w:t>
      </w:r>
      <w:r>
        <w:rPr>
          <w:rFonts w:ascii="Verdana" w:eastAsia="Verdana" w:hAnsi="Verdana" w:cs="Times New Roman"/>
        </w:rPr>
        <w:t xml:space="preserve">e </w:t>
      </w:r>
      <w:r w:rsidR="00AE0DDE">
        <w:rPr>
          <w:rFonts w:ascii="Verdana" w:eastAsia="Verdana" w:hAnsi="Verdana" w:cs="Times New Roman"/>
        </w:rPr>
        <w:t>u</w:t>
      </w:r>
      <w:r>
        <w:rPr>
          <w:rFonts w:ascii="Verdana" w:eastAsia="Verdana" w:hAnsi="Verdana" w:cs="Times New Roman"/>
        </w:rPr>
        <w:t xml:space="preserve">veden také rozsah pravidelné vlakové dopravy, avšak jen osobní. Chybí popis pravidelné nákladní dopravy </w:t>
      </w:r>
      <w:r w:rsidR="00AE0DDE">
        <w:rPr>
          <w:rFonts w:ascii="Verdana" w:eastAsia="Verdana" w:hAnsi="Verdana" w:cs="Times New Roman"/>
        </w:rPr>
        <w:t xml:space="preserve">(dle platného GVD manipulační vlaky dopravce ČD </w:t>
      </w:r>
      <w:proofErr w:type="spellStart"/>
      <w:r w:rsidR="00AE0DDE">
        <w:rPr>
          <w:rFonts w:ascii="Verdana" w:eastAsia="Verdana" w:hAnsi="Verdana" w:cs="Times New Roman"/>
        </w:rPr>
        <w:t>Cargo</w:t>
      </w:r>
      <w:proofErr w:type="spellEnd"/>
      <w:r w:rsidR="00AE0DDE">
        <w:rPr>
          <w:rFonts w:ascii="Verdana" w:eastAsia="Verdana" w:hAnsi="Verdana" w:cs="Times New Roman"/>
        </w:rPr>
        <w:t>, a.s.</w:t>
      </w:r>
      <w:r w:rsidR="00997D82">
        <w:rPr>
          <w:rFonts w:ascii="Verdana" w:eastAsia="Verdana" w:hAnsi="Verdana" w:cs="Times New Roman"/>
        </w:rPr>
        <w:t xml:space="preserve"> v úseku Tišnov – Rožná)</w:t>
      </w:r>
      <w:r w:rsidR="00AE0DDE">
        <w:rPr>
          <w:rFonts w:ascii="Verdana" w:eastAsia="Verdana" w:hAnsi="Verdana" w:cs="Times New Roman"/>
        </w:rPr>
        <w:t xml:space="preserve"> </w:t>
      </w:r>
      <w:r>
        <w:rPr>
          <w:rFonts w:ascii="Verdana" w:eastAsia="Verdana" w:hAnsi="Verdana" w:cs="Times New Roman"/>
        </w:rPr>
        <w:t>a navržené opatření během výstavby.</w:t>
      </w:r>
      <w:r w:rsidR="008613A5">
        <w:rPr>
          <w:rFonts w:ascii="Verdana" w:eastAsia="Verdana" w:hAnsi="Verdana" w:cs="Times New Roman"/>
        </w:rPr>
        <w:t xml:space="preserve"> </w:t>
      </w:r>
      <w:r w:rsidR="008613A5">
        <w:rPr>
          <w:rFonts w:ascii="Verdana" w:hAnsi="Verdana" w:cs="Arial"/>
          <w:color w:val="FF0000"/>
        </w:rPr>
        <w:t>doplníme do čistopisu</w:t>
      </w:r>
      <w:r w:rsidR="008613A5" w:rsidRPr="004C44BD">
        <w:rPr>
          <w:rFonts w:ascii="Verdana" w:hAnsi="Verdana" w:cs="Arial"/>
          <w:color w:val="FF0000"/>
        </w:rPr>
        <w:t xml:space="preserve"> </w:t>
      </w:r>
      <w:r w:rsidR="008613A5" w:rsidRPr="004C44BD">
        <w:rPr>
          <w:color w:val="FF0000"/>
        </w:rPr>
        <w:t>(Lacina)</w:t>
      </w:r>
    </w:p>
    <w:p w:rsidR="00865830" w:rsidRDefault="00865830" w:rsidP="00E513C2">
      <w:pPr>
        <w:pStyle w:val="Bezmezer"/>
        <w:ind w:left="284"/>
      </w:pPr>
    </w:p>
    <w:p w:rsidR="00050004" w:rsidRDefault="00050004" w:rsidP="005E1E51">
      <w:pPr>
        <w:numPr>
          <w:ilvl w:val="0"/>
          <w:numId w:val="5"/>
        </w:numPr>
        <w:spacing w:after="0"/>
        <w:ind w:left="284" w:hanging="284"/>
        <w:rPr>
          <w:b/>
          <w:bCs/>
        </w:rPr>
      </w:pPr>
      <w:r>
        <w:rPr>
          <w:b/>
          <w:bCs/>
        </w:rPr>
        <w:t>Odbor plánování a koordinace výluk (O12)</w:t>
      </w:r>
    </w:p>
    <w:p w:rsidR="00050004" w:rsidRDefault="00050004" w:rsidP="005E1E51">
      <w:pPr>
        <w:autoSpaceDE w:val="0"/>
        <w:autoSpaceDN w:val="0"/>
        <w:adjustRightInd w:val="0"/>
        <w:spacing w:after="0"/>
        <w:ind w:left="284"/>
        <w:rPr>
          <w:b/>
          <w:bCs/>
        </w:rPr>
      </w:pPr>
      <w:r>
        <w:rPr>
          <w:i/>
          <w:iCs/>
        </w:rPr>
        <w:t>(zpracovatel</w:t>
      </w:r>
      <w:r w:rsidR="003B6370">
        <w:rPr>
          <w:i/>
          <w:iCs/>
        </w:rPr>
        <w:t>:</w:t>
      </w:r>
      <w:r>
        <w:rPr>
          <w:i/>
          <w:iCs/>
        </w:rPr>
        <w:t xml:space="preserve"> </w:t>
      </w:r>
      <w:r w:rsidR="00033768">
        <w:rPr>
          <w:i/>
          <w:iCs/>
        </w:rPr>
        <w:t>p</w:t>
      </w:r>
      <w:r w:rsidR="00865830">
        <w:rPr>
          <w:i/>
          <w:iCs/>
        </w:rPr>
        <w:t>.</w:t>
      </w:r>
      <w:r w:rsidR="00033768">
        <w:rPr>
          <w:i/>
          <w:iCs/>
        </w:rPr>
        <w:t xml:space="preserve"> </w:t>
      </w:r>
      <w:r w:rsidR="00AC3C23">
        <w:rPr>
          <w:i/>
          <w:iCs/>
        </w:rPr>
        <w:t xml:space="preserve">Mojmír </w:t>
      </w:r>
      <w:r w:rsidR="00033768">
        <w:rPr>
          <w:i/>
          <w:iCs/>
        </w:rPr>
        <w:t>Bursa</w:t>
      </w:r>
      <w:r>
        <w:rPr>
          <w:i/>
          <w:iCs/>
        </w:rPr>
        <w:t xml:space="preserve">, tel. 972 244 </w:t>
      </w:r>
      <w:r w:rsidR="00033768">
        <w:rPr>
          <w:i/>
          <w:iCs/>
        </w:rPr>
        <w:t>179</w:t>
      </w:r>
      <w:r>
        <w:rPr>
          <w:i/>
          <w:iCs/>
        </w:rPr>
        <w:t>)</w:t>
      </w:r>
    </w:p>
    <w:p w:rsidR="000E5587" w:rsidRDefault="00AE0DDE" w:rsidP="00865830">
      <w:pPr>
        <w:pStyle w:val="Funkce"/>
        <w:spacing w:before="60"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  <w:r>
        <w:rPr>
          <w:rFonts w:asciiTheme="minorHAnsi" w:hAnsiTheme="minorHAnsi"/>
          <w:i w:val="0"/>
          <w:sz w:val="18"/>
          <w:szCs w:val="18"/>
        </w:rPr>
        <w:t>Bez připomínek.</w:t>
      </w:r>
    </w:p>
    <w:p w:rsidR="001F4C70" w:rsidRDefault="001F4C70" w:rsidP="005E1E51">
      <w:pPr>
        <w:pStyle w:val="Funkce"/>
        <w:spacing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</w:p>
    <w:p w:rsidR="00D64393" w:rsidRDefault="00D64393" w:rsidP="005E1E51">
      <w:pPr>
        <w:pStyle w:val="Funkce"/>
        <w:spacing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</w:p>
    <w:p w:rsidR="00575079" w:rsidRDefault="00575079" w:rsidP="005E1E51">
      <w:pPr>
        <w:pStyle w:val="Funkce"/>
        <w:spacing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</w:p>
    <w:p w:rsidR="00575079" w:rsidRDefault="00575079" w:rsidP="005E1E51">
      <w:pPr>
        <w:pStyle w:val="Funkce"/>
        <w:spacing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</w:p>
    <w:p w:rsidR="00865830" w:rsidRDefault="00865830" w:rsidP="005E1E51">
      <w:pPr>
        <w:pStyle w:val="Funkce"/>
        <w:spacing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</w:p>
    <w:p w:rsidR="00050004" w:rsidRDefault="00050004" w:rsidP="005E1E51">
      <w:pPr>
        <w:pStyle w:val="Funkce"/>
        <w:spacing w:line="264" w:lineRule="auto"/>
        <w:ind w:left="0" w:firstLine="0"/>
        <w:jc w:val="left"/>
        <w:rPr>
          <w:rFonts w:asciiTheme="minorHAnsi" w:hAnsiTheme="minorHAnsi"/>
          <w:i w:val="0"/>
          <w:sz w:val="18"/>
          <w:szCs w:val="18"/>
        </w:rPr>
      </w:pPr>
      <w:r>
        <w:rPr>
          <w:rFonts w:asciiTheme="minorHAnsi" w:hAnsiTheme="minorHAnsi"/>
          <w:i w:val="0"/>
          <w:sz w:val="18"/>
          <w:szCs w:val="18"/>
        </w:rPr>
        <w:t xml:space="preserve">Ing. Miroslav </w:t>
      </w:r>
      <w:proofErr w:type="spellStart"/>
      <w:r>
        <w:rPr>
          <w:rFonts w:asciiTheme="minorHAnsi" w:hAnsiTheme="minorHAnsi"/>
          <w:i w:val="0"/>
          <w:sz w:val="18"/>
          <w:szCs w:val="18"/>
        </w:rPr>
        <w:t>Jasenčák</w:t>
      </w:r>
      <w:proofErr w:type="spellEnd"/>
    </w:p>
    <w:p w:rsidR="00D21061" w:rsidRDefault="00050004" w:rsidP="005E1E51">
      <w:pPr>
        <w:pStyle w:val="Funkce"/>
        <w:spacing w:line="264" w:lineRule="auto"/>
        <w:ind w:left="0" w:firstLine="0"/>
        <w:jc w:val="left"/>
      </w:pPr>
      <w:r>
        <w:rPr>
          <w:rFonts w:asciiTheme="minorHAnsi" w:hAnsiTheme="minorHAnsi"/>
          <w:i w:val="0"/>
          <w:sz w:val="18"/>
          <w:szCs w:val="18"/>
        </w:rPr>
        <w:t>náměstek generálního ředitele pro řízení provozu</w:t>
      </w:r>
    </w:p>
    <w:sectPr w:rsidR="00D21061" w:rsidSect="00FC3EC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18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B38" w:rsidRDefault="00B24B38" w:rsidP="00962258">
      <w:pPr>
        <w:spacing w:after="0" w:line="240" w:lineRule="auto"/>
      </w:pPr>
      <w:r>
        <w:separator/>
      </w:r>
    </w:p>
  </w:endnote>
  <w:endnote w:type="continuationSeparator" w:id="0">
    <w:p w:rsidR="00B24B38" w:rsidRDefault="00B24B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3E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6C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45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45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B95A44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B38" w:rsidRDefault="00B24B38" w:rsidP="00962258">
      <w:pPr>
        <w:spacing w:after="0" w:line="240" w:lineRule="auto"/>
      </w:pPr>
      <w:r>
        <w:separator/>
      </w:r>
    </w:p>
  </w:footnote>
  <w:footnote w:type="continuationSeparator" w:id="0">
    <w:p w:rsidR="00B24B38" w:rsidRDefault="00B24B3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13AF31C5" wp14:editId="4315196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96A89C9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1B7B444E" wp14:editId="62F8224D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6448C620" wp14:editId="56E5B7E1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B8B573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231C5E"/>
    <w:multiLevelType w:val="hybridMultilevel"/>
    <w:tmpl w:val="2C20270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C6C1340"/>
    <w:multiLevelType w:val="hybridMultilevel"/>
    <w:tmpl w:val="B6403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25CC3"/>
    <w:multiLevelType w:val="hybridMultilevel"/>
    <w:tmpl w:val="F46A27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abstractNum w:abstractNumId="7" w15:restartNumberingAfterBreak="0">
    <w:nsid w:val="7A310C63"/>
    <w:multiLevelType w:val="hybridMultilevel"/>
    <w:tmpl w:val="73F6415A"/>
    <w:lvl w:ilvl="0" w:tplc="D10095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4D3EF4"/>
    <w:multiLevelType w:val="hybridMultilevel"/>
    <w:tmpl w:val="CCD830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6719E1"/>
    <w:multiLevelType w:val="hybridMultilevel"/>
    <w:tmpl w:val="559C9AA2"/>
    <w:lvl w:ilvl="0" w:tplc="5DE6ABB8">
      <w:start w:val="1"/>
      <w:numFmt w:val="decimal"/>
      <w:lvlText w:val="%1."/>
      <w:lvlJc w:val="left"/>
      <w:pPr>
        <w:ind w:left="502" w:hanging="360"/>
      </w:pPr>
      <w:rPr>
        <w:i w:val="0"/>
        <w:iCs w:val="0"/>
      </w:rPr>
    </w:lvl>
    <w:lvl w:ilvl="1" w:tplc="DEC49CA6">
      <w:start w:val="1"/>
      <w:numFmt w:val="upp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4"/>
  </w:num>
  <w:num w:numId="9">
    <w:abstractNumId w:val="7"/>
  </w:num>
  <w:num w:numId="10">
    <w:abstractNumId w:val="5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autoHyphenation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AF4"/>
    <w:rsid w:val="00033432"/>
    <w:rsid w:val="000335CC"/>
    <w:rsid w:val="00033768"/>
    <w:rsid w:val="00037E3B"/>
    <w:rsid w:val="0004683C"/>
    <w:rsid w:val="00050004"/>
    <w:rsid w:val="000633FE"/>
    <w:rsid w:val="00071612"/>
    <w:rsid w:val="00072C1E"/>
    <w:rsid w:val="000B7907"/>
    <w:rsid w:val="000C0429"/>
    <w:rsid w:val="000C4A15"/>
    <w:rsid w:val="000D37A7"/>
    <w:rsid w:val="000E5587"/>
    <w:rsid w:val="000F7547"/>
    <w:rsid w:val="00114472"/>
    <w:rsid w:val="00130CBF"/>
    <w:rsid w:val="00130CD8"/>
    <w:rsid w:val="00166F83"/>
    <w:rsid w:val="00170EC5"/>
    <w:rsid w:val="001747C1"/>
    <w:rsid w:val="0018596A"/>
    <w:rsid w:val="001C4DA0"/>
    <w:rsid w:val="001F4C70"/>
    <w:rsid w:val="00207DF5"/>
    <w:rsid w:val="00234112"/>
    <w:rsid w:val="00242254"/>
    <w:rsid w:val="002603EA"/>
    <w:rsid w:val="0026785D"/>
    <w:rsid w:val="002A3384"/>
    <w:rsid w:val="002C31BF"/>
    <w:rsid w:val="002E0CD7"/>
    <w:rsid w:val="002F026B"/>
    <w:rsid w:val="002F4EBD"/>
    <w:rsid w:val="00357BC6"/>
    <w:rsid w:val="00377E53"/>
    <w:rsid w:val="003956C6"/>
    <w:rsid w:val="003B0A1D"/>
    <w:rsid w:val="003B6370"/>
    <w:rsid w:val="003C35BF"/>
    <w:rsid w:val="003C544D"/>
    <w:rsid w:val="003C7C33"/>
    <w:rsid w:val="003D2E10"/>
    <w:rsid w:val="003E74CC"/>
    <w:rsid w:val="003E75CE"/>
    <w:rsid w:val="0041380F"/>
    <w:rsid w:val="00440441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E7904"/>
    <w:rsid w:val="004F4B9B"/>
    <w:rsid w:val="00511AB9"/>
    <w:rsid w:val="00523EA7"/>
    <w:rsid w:val="00541F1C"/>
    <w:rsid w:val="00551D1F"/>
    <w:rsid w:val="00553375"/>
    <w:rsid w:val="00555AAD"/>
    <w:rsid w:val="005658A6"/>
    <w:rsid w:val="005722BB"/>
    <w:rsid w:val="005736B7"/>
    <w:rsid w:val="00575079"/>
    <w:rsid w:val="00575E5A"/>
    <w:rsid w:val="00577B51"/>
    <w:rsid w:val="00596C7E"/>
    <w:rsid w:val="005A217E"/>
    <w:rsid w:val="005A64E9"/>
    <w:rsid w:val="005A7470"/>
    <w:rsid w:val="005B5EE9"/>
    <w:rsid w:val="005E1E51"/>
    <w:rsid w:val="005E50F5"/>
    <w:rsid w:val="0061068E"/>
    <w:rsid w:val="00660AD3"/>
    <w:rsid w:val="006A5570"/>
    <w:rsid w:val="006A689C"/>
    <w:rsid w:val="006B26D9"/>
    <w:rsid w:val="006B3D79"/>
    <w:rsid w:val="006D4324"/>
    <w:rsid w:val="006E0578"/>
    <w:rsid w:val="006E314D"/>
    <w:rsid w:val="00710723"/>
    <w:rsid w:val="00720AF4"/>
    <w:rsid w:val="00723ED1"/>
    <w:rsid w:val="00743525"/>
    <w:rsid w:val="0076286B"/>
    <w:rsid w:val="00764595"/>
    <w:rsid w:val="00764D7E"/>
    <w:rsid w:val="00766846"/>
    <w:rsid w:val="0077673A"/>
    <w:rsid w:val="00776CBB"/>
    <w:rsid w:val="00781208"/>
    <w:rsid w:val="007846E1"/>
    <w:rsid w:val="00787555"/>
    <w:rsid w:val="007A549B"/>
    <w:rsid w:val="007B570C"/>
    <w:rsid w:val="007B7C7A"/>
    <w:rsid w:val="007E4A6E"/>
    <w:rsid w:val="007F06E2"/>
    <w:rsid w:val="007F2D25"/>
    <w:rsid w:val="007F56A7"/>
    <w:rsid w:val="00804159"/>
    <w:rsid w:val="00806344"/>
    <w:rsid w:val="00807DD0"/>
    <w:rsid w:val="00807EC3"/>
    <w:rsid w:val="00813F11"/>
    <w:rsid w:val="00825371"/>
    <w:rsid w:val="00851DD5"/>
    <w:rsid w:val="008545CB"/>
    <w:rsid w:val="00856F98"/>
    <w:rsid w:val="008613A5"/>
    <w:rsid w:val="00863A4A"/>
    <w:rsid w:val="00865830"/>
    <w:rsid w:val="008A3568"/>
    <w:rsid w:val="008D03B9"/>
    <w:rsid w:val="008F18D6"/>
    <w:rsid w:val="00904780"/>
    <w:rsid w:val="009113A8"/>
    <w:rsid w:val="00922385"/>
    <w:rsid w:val="009223DF"/>
    <w:rsid w:val="00923917"/>
    <w:rsid w:val="00936091"/>
    <w:rsid w:val="00940D8A"/>
    <w:rsid w:val="00945EE2"/>
    <w:rsid w:val="00962258"/>
    <w:rsid w:val="009678B7"/>
    <w:rsid w:val="00982411"/>
    <w:rsid w:val="00992D9C"/>
    <w:rsid w:val="00996CB8"/>
    <w:rsid w:val="00997D82"/>
    <w:rsid w:val="009A7568"/>
    <w:rsid w:val="009B2E97"/>
    <w:rsid w:val="009B72CC"/>
    <w:rsid w:val="009D4BD6"/>
    <w:rsid w:val="009E07F4"/>
    <w:rsid w:val="009F392E"/>
    <w:rsid w:val="00A1438F"/>
    <w:rsid w:val="00A20544"/>
    <w:rsid w:val="00A44328"/>
    <w:rsid w:val="00A56F3E"/>
    <w:rsid w:val="00A6177B"/>
    <w:rsid w:val="00A66136"/>
    <w:rsid w:val="00A7396F"/>
    <w:rsid w:val="00A742DA"/>
    <w:rsid w:val="00A91E23"/>
    <w:rsid w:val="00AA05C3"/>
    <w:rsid w:val="00AA4CBB"/>
    <w:rsid w:val="00AA65FA"/>
    <w:rsid w:val="00AA7351"/>
    <w:rsid w:val="00AA7830"/>
    <w:rsid w:val="00AC11BC"/>
    <w:rsid w:val="00AC3C23"/>
    <w:rsid w:val="00AD056F"/>
    <w:rsid w:val="00AD6731"/>
    <w:rsid w:val="00AD6788"/>
    <w:rsid w:val="00AE0DDE"/>
    <w:rsid w:val="00B15D0D"/>
    <w:rsid w:val="00B24B38"/>
    <w:rsid w:val="00B27F21"/>
    <w:rsid w:val="00B40FB0"/>
    <w:rsid w:val="00B45E9E"/>
    <w:rsid w:val="00B54650"/>
    <w:rsid w:val="00B55F9C"/>
    <w:rsid w:val="00B72B60"/>
    <w:rsid w:val="00B75EE1"/>
    <w:rsid w:val="00B77481"/>
    <w:rsid w:val="00B77510"/>
    <w:rsid w:val="00B8518B"/>
    <w:rsid w:val="00B8765E"/>
    <w:rsid w:val="00B95A44"/>
    <w:rsid w:val="00BA2353"/>
    <w:rsid w:val="00BB3740"/>
    <w:rsid w:val="00BC0854"/>
    <w:rsid w:val="00BD3E8F"/>
    <w:rsid w:val="00BD7E91"/>
    <w:rsid w:val="00BF374D"/>
    <w:rsid w:val="00C02D0A"/>
    <w:rsid w:val="00C03A6E"/>
    <w:rsid w:val="00C30759"/>
    <w:rsid w:val="00C449F3"/>
    <w:rsid w:val="00C44F6A"/>
    <w:rsid w:val="00C5087D"/>
    <w:rsid w:val="00C7182D"/>
    <w:rsid w:val="00C76932"/>
    <w:rsid w:val="00C8207D"/>
    <w:rsid w:val="00C900A1"/>
    <w:rsid w:val="00C95B40"/>
    <w:rsid w:val="00C96922"/>
    <w:rsid w:val="00CA0733"/>
    <w:rsid w:val="00CD043B"/>
    <w:rsid w:val="00CD1FC4"/>
    <w:rsid w:val="00CD5E27"/>
    <w:rsid w:val="00CE0094"/>
    <w:rsid w:val="00CE371D"/>
    <w:rsid w:val="00D02A4D"/>
    <w:rsid w:val="00D21061"/>
    <w:rsid w:val="00D316A7"/>
    <w:rsid w:val="00D4108E"/>
    <w:rsid w:val="00D47C97"/>
    <w:rsid w:val="00D52BF7"/>
    <w:rsid w:val="00D6163D"/>
    <w:rsid w:val="00D64393"/>
    <w:rsid w:val="00D74A25"/>
    <w:rsid w:val="00D77033"/>
    <w:rsid w:val="00D831A3"/>
    <w:rsid w:val="00DA3C33"/>
    <w:rsid w:val="00DA6FFE"/>
    <w:rsid w:val="00DA7CAC"/>
    <w:rsid w:val="00DB205E"/>
    <w:rsid w:val="00DC3110"/>
    <w:rsid w:val="00DD46F3"/>
    <w:rsid w:val="00DD5139"/>
    <w:rsid w:val="00DD58A6"/>
    <w:rsid w:val="00DD5BC0"/>
    <w:rsid w:val="00DE56F2"/>
    <w:rsid w:val="00DF116D"/>
    <w:rsid w:val="00DF18FA"/>
    <w:rsid w:val="00E21B22"/>
    <w:rsid w:val="00E47F2A"/>
    <w:rsid w:val="00E513C2"/>
    <w:rsid w:val="00E824F1"/>
    <w:rsid w:val="00EA129B"/>
    <w:rsid w:val="00EB104F"/>
    <w:rsid w:val="00EB55DE"/>
    <w:rsid w:val="00EC106F"/>
    <w:rsid w:val="00ED13C0"/>
    <w:rsid w:val="00ED14BD"/>
    <w:rsid w:val="00ED3947"/>
    <w:rsid w:val="00ED4D23"/>
    <w:rsid w:val="00EF081F"/>
    <w:rsid w:val="00F01440"/>
    <w:rsid w:val="00F12DEC"/>
    <w:rsid w:val="00F1715C"/>
    <w:rsid w:val="00F310F8"/>
    <w:rsid w:val="00F35939"/>
    <w:rsid w:val="00F40664"/>
    <w:rsid w:val="00F45607"/>
    <w:rsid w:val="00F60168"/>
    <w:rsid w:val="00F64786"/>
    <w:rsid w:val="00F659EB"/>
    <w:rsid w:val="00F862D6"/>
    <w:rsid w:val="00F865FC"/>
    <w:rsid w:val="00F86BA6"/>
    <w:rsid w:val="00FC3ECC"/>
    <w:rsid w:val="00FC6389"/>
    <w:rsid w:val="00FC6D3A"/>
    <w:rsid w:val="00FD2F51"/>
    <w:rsid w:val="00FE28EC"/>
    <w:rsid w:val="00FF469B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78186A39-F3AF-47FE-BB70-6209D398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Adresa">
    <w:name w:val="Adresa"/>
    <w:basedOn w:val="Normln"/>
    <w:qFormat/>
    <w:rsid w:val="00EB55DE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Funkce">
    <w:name w:val="Funkce"/>
    <w:basedOn w:val="Podpis"/>
    <w:rsid w:val="00EB55DE"/>
    <w:pPr>
      <w:ind w:left="5103" w:hanging="1"/>
      <w:jc w:val="center"/>
    </w:pPr>
    <w:rPr>
      <w:rFonts w:ascii="Arial" w:eastAsia="Calibri" w:hAnsi="Arial" w:cs="Times New Roman"/>
      <w:i/>
      <w:iCs/>
      <w:sz w:val="20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EB55DE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EB5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7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1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37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2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17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70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335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628244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1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160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380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816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224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2841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0872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751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uzensky\Desktop\sprava-zeleznic_administrativni-dopis_v10_SABLON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4ADEED388CD4C5A90EB3FD04B2AA8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869AD-A7A0-4C74-BD59-D69D9BA94288}"/>
      </w:docPartPr>
      <w:docPartBody>
        <w:p w:rsidR="00191DD4" w:rsidRDefault="0001747B" w:rsidP="0001747B">
          <w:pPr>
            <w:pStyle w:val="44ADEED388CD4C5A90EB3FD04B2AA8EA"/>
          </w:pPr>
          <w:r w:rsidRPr="00890872">
            <w:rPr>
              <w:b/>
              <w:color w:val="FF0000"/>
            </w:rPr>
            <w:t>VYBER 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47B"/>
    <w:rsid w:val="0001747B"/>
    <w:rsid w:val="00097B2D"/>
    <w:rsid w:val="00191DD4"/>
    <w:rsid w:val="002309A8"/>
    <w:rsid w:val="002469E0"/>
    <w:rsid w:val="002471E0"/>
    <w:rsid w:val="00321BBF"/>
    <w:rsid w:val="00452223"/>
    <w:rsid w:val="004757DC"/>
    <w:rsid w:val="004913CC"/>
    <w:rsid w:val="00516B34"/>
    <w:rsid w:val="00554126"/>
    <w:rsid w:val="005712E7"/>
    <w:rsid w:val="00612D5A"/>
    <w:rsid w:val="00642C1F"/>
    <w:rsid w:val="006B6C0F"/>
    <w:rsid w:val="006F36C7"/>
    <w:rsid w:val="00732CC9"/>
    <w:rsid w:val="00800CB7"/>
    <w:rsid w:val="00852F59"/>
    <w:rsid w:val="008E0C46"/>
    <w:rsid w:val="009D7E14"/>
    <w:rsid w:val="00A72CBF"/>
    <w:rsid w:val="00B856E2"/>
    <w:rsid w:val="00BA20CD"/>
    <w:rsid w:val="00CA2890"/>
    <w:rsid w:val="00E01272"/>
    <w:rsid w:val="00E10B00"/>
    <w:rsid w:val="00E21760"/>
    <w:rsid w:val="00F32DEB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4ADEED388CD4C5A90EB3FD04B2AA8EA">
    <w:name w:val="44ADEED388CD4C5A90EB3FD04B2AA8EA"/>
    <w:rsid w:val="000174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0AFC81-3294-4146-A993-1478742B0CB4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90229E-52B9-43B4-B337-367F4D5FA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sprava-zeleznic_administrativni-dopis_v10_SABLONA.dotx</Template>
  <TotalTime>0</TotalTime>
  <Pages>1</Pages>
  <Words>312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Louženský Jan, Ing.</dc:creator>
  <cp:lastModifiedBy>Lacina Jaroslav</cp:lastModifiedBy>
  <cp:revision>2</cp:revision>
  <cp:lastPrinted>2020-08-11T09:41:00Z</cp:lastPrinted>
  <dcterms:created xsi:type="dcterms:W3CDTF">2020-10-12T06:51:00Z</dcterms:created>
  <dcterms:modified xsi:type="dcterms:W3CDTF">2020-10-12T06:51:00Z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